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96、付款通知列表的</w:t>
      </w:r>
      <w:r>
        <w:rPr>
          <w:rFonts w:hint="eastAsia"/>
          <w:b/>
          <w:bCs/>
          <w:lang w:val="en-US" w:eastAsia="zh-CN"/>
        </w:rPr>
        <w:t>全部</w:t>
      </w:r>
      <w:r>
        <w:rPr>
          <w:rFonts w:hint="eastAsia"/>
          <w:lang w:val="en-US" w:eastAsia="zh-CN"/>
        </w:rPr>
        <w:t>页签，增加“申请人”筛选查询：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eastAsiaTheme="minorEastAsia"/>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订单分析”对应筛选的界面，E、钉钉的显示内容与OA一致（</w:t>
      </w:r>
      <w:r>
        <w:rPr>
          <w:rFonts w:hint="eastAsia"/>
          <w:color w:val="FF0000"/>
          <w:lang w:val="en-US" w:eastAsia="zh-CN"/>
        </w:rPr>
        <w:t>不</w:t>
      </w:r>
      <w:r>
        <w:rPr>
          <w:rFonts w:hint="eastAsia"/>
          <w:lang w:val="en-US" w:eastAsia="zh-CN"/>
        </w:rPr>
        <w:t>显示操作明细），默认筛选条件也一样！F、能引出excel文件！</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w:t>
      </w:r>
      <w:r>
        <w:rPr>
          <w:rFonts w:hint="eastAsia"/>
          <w:b/>
          <w:bCs/>
          <w:color w:val="FF0000"/>
          <w:lang w:val="en-US" w:eastAsia="zh-CN"/>
        </w:rPr>
        <w:t>业务明细</w:t>
      </w:r>
      <w:r>
        <w:rPr>
          <w:rFonts w:hint="eastAsia"/>
          <w:lang w:val="en-US" w:eastAsia="zh-CN"/>
        </w:rPr>
        <w:t>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eastAsiaTheme="minorEastAsia"/>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F专普票选项增加“电子发票”选项:</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主订单页面，合同造价改中的“50万以下”与“50万-100万”改为：</w:t>
      </w:r>
    </w:p>
    <w:p>
      <w:pPr>
        <w:numPr>
          <w:ilvl w:val="0"/>
          <w:numId w:val="0"/>
        </w:numPr>
        <w:ind w:leftChars="0"/>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统计分析中增加“策划与设员”工作量统计（位置在订单分析上面）：1、统计对象：接单人员，非接单人员不统计在内；2、筛选条件：订单结束时间、接单人员、人员岗位（模糊筛选）、下单区域、归属区域、订单状态、接单状态（默认“待定与处理中”）、锁单状态；3、合计订单数为</w:t>
      </w:r>
      <w:r>
        <w:rPr>
          <w:rFonts w:hint="eastAsia"/>
          <w:b/>
          <w:bCs/>
          <w:lang w:val="en-US" w:eastAsia="zh-CN"/>
        </w:rPr>
        <w:t>0</w:t>
      </w:r>
      <w:r>
        <w:rPr>
          <w:rFonts w:hint="eastAsia"/>
          <w:lang w:val="en-US" w:eastAsia="zh-CN"/>
        </w:rPr>
        <w:t>的人员</w:t>
      </w:r>
      <w:r>
        <w:rPr>
          <w:rFonts w:hint="eastAsia"/>
          <w:color w:val="FF0000"/>
          <w:lang w:val="en-US" w:eastAsia="zh-CN"/>
        </w:rPr>
        <w:t>不</w:t>
      </w:r>
      <w:r>
        <w:rPr>
          <w:rFonts w:hint="eastAsia"/>
          <w:lang w:val="en-US" w:eastAsia="zh-CN"/>
        </w:rPr>
        <w:t>显示；4、点击记录的数量，自动转跳到对应筛选的“订单分析”页面；5、引出excel文件</w:t>
      </w:r>
    </w:p>
    <w:p>
      <w:pPr>
        <w:numPr>
          <w:ilvl w:val="0"/>
          <w:numId w:val="0"/>
        </w:numPr>
        <w:ind w:leftChars="0"/>
      </w:pPr>
      <w:r>
        <w:drawing>
          <wp:inline distT="0" distB="0" distL="114300" distR="114300">
            <wp:extent cx="7044055" cy="2775585"/>
            <wp:effectExtent l="0" t="0" r="4445" b="57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42"/>
                    <a:stretch>
                      <a:fillRect/>
                    </a:stretch>
                  </pic:blipFill>
                  <pic:spPr>
                    <a:xfrm>
                      <a:off x="0" y="0"/>
                      <a:ext cx="7044055" cy="2775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详细页面增加“合同签署地”选项，同时在财务模块的其他子模块增加“合同签置地”录入；B在业务模块的所有子模块中增加“合同签署地”筛选项；在财务模块中的“应收付列表”、“收款明细列表”、“付款明细列表”、“往来客户”中的“往业客户”与“客户对账子模块”、“财务结账”的所有子模块中；在统计模块中的“订单分析”增加“合同签署地”筛选项；C“付款明细列表中的订单号，鼠标放置显示“合同签署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A在订单详细页面中的“发票申请汇总”中显示“发票超开金额”，既显示：订单中”已开具的发票“的金额大于“订单应收总额”的金额，用红色字体显示超开金额，未超开显示为“零”；B在订单分析模块中增加“订单发票超开（＝；&gt;；&gt;=）筛选”，默认为空；</w:t>
      </w:r>
    </w:p>
    <w:p>
      <w:pPr>
        <w:numPr>
          <w:ilvl w:val="0"/>
          <w:numId w:val="0"/>
        </w:numPr>
        <w:ind w:leftChars="0"/>
      </w:pPr>
      <w:r>
        <w:drawing>
          <wp:inline distT="0" distB="0" distL="114300" distR="114300">
            <wp:extent cx="7040880" cy="3359150"/>
            <wp:effectExtent l="0" t="0" r="7620"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发票模块所有子模块，新增“购买方名称”模糊筛选；同时引出的文件也加上“购买方名称”与“开票单位”</w:t>
      </w:r>
    </w:p>
    <w:p>
      <w:pPr>
        <w:numPr>
          <w:ilvl w:val="0"/>
          <w:numId w:val="0"/>
        </w:numPr>
        <w:ind w:leftChars="0"/>
      </w:pPr>
      <w:r>
        <w:drawing>
          <wp:inline distT="0" distB="0" distL="114300" distR="114300">
            <wp:extent cx="7040880" cy="3359150"/>
            <wp:effectExtent l="0" t="0" r="7620" b="1270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“非业务”与财务的“付款通知”、“收付通知中的退款”的已付款凭证打印模式增加一个“应税凭证打印”，与普通打印的区别为（</w:t>
      </w:r>
      <w:r>
        <w:rPr>
          <w:rFonts w:hint="eastAsia"/>
          <w:color w:val="FF0000"/>
          <w:lang w:val="en-US" w:eastAsia="zh-CN"/>
        </w:rPr>
        <w:t>暂缓</w:t>
      </w:r>
      <w:r>
        <w:rPr>
          <w:rFonts w:hint="eastAsia"/>
          <w:lang w:val="en-US" w:eastAsia="zh-CN"/>
        </w:rPr>
        <w:t>）：</w:t>
      </w:r>
    </w:p>
    <w:p>
      <w:pPr>
        <w:numPr>
          <w:ilvl w:val="0"/>
          <w:numId w:val="0"/>
        </w:numPr>
        <w:ind w:leftChars="0"/>
      </w:pPr>
      <w:r>
        <w:drawing>
          <wp:inline distT="0" distB="0" distL="114300" distR="114300">
            <wp:extent cx="7040880" cy="3359150"/>
            <wp:effectExtent l="0" t="0" r="7620" b="1270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钉钉订单确认颜色由原业的“明蓝色”改为“瓦蓝色”：</w:t>
      </w:r>
    </w:p>
    <w:p>
      <w:pPr>
        <w:numPr>
          <w:ilvl w:val="0"/>
          <w:numId w:val="0"/>
        </w:numPr>
        <w:ind w:leftChars="0"/>
      </w:pPr>
      <w:r>
        <w:drawing>
          <wp:inline distT="0" distB="0" distL="114300" distR="114300">
            <wp:extent cx="2009775" cy="4890770"/>
            <wp:effectExtent l="0" t="0" r="9525" b="508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9"/>
                    <a:stretch>
                      <a:fillRect/>
                    </a:stretch>
                  </pic:blipFill>
                  <pic:spPr>
                    <a:xfrm>
                      <a:off x="0" y="0"/>
                      <a:ext cx="2009775" cy="489077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“业务活动执行备用金借款”财务审批时，可以修改申请金额（修改的金额应比原来小），修改后在，同时“审批备注”显示：财务批复借款金额由原####元改为#####元；钉钉上也要实现；</w:t>
      </w:r>
    </w:p>
    <w:p>
      <w:pPr>
        <w:numPr>
          <w:ilvl w:val="0"/>
          <w:numId w:val="0"/>
        </w:numPr>
        <w:ind w:leftChars="0"/>
      </w:pPr>
      <w:r>
        <w:drawing>
          <wp:inline distT="0" distB="0" distL="114300" distR="114300">
            <wp:extent cx="7040880" cy="3359150"/>
            <wp:effectExtent l="0" t="0" r="7620" b="1270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5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审单的界面的所有页签增加对业务员的筛选：</w:t>
      </w:r>
    </w:p>
    <w:p>
      <w:pPr>
        <w:numPr>
          <w:ilvl w:val="0"/>
          <w:numId w:val="0"/>
        </w:numPr>
        <w:ind w:leftChars="0"/>
      </w:pPr>
      <w:r>
        <w:drawing>
          <wp:inline distT="0" distB="0" distL="114300" distR="114300">
            <wp:extent cx="7040880" cy="3359150"/>
            <wp:effectExtent l="0" t="0" r="7620"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5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A在订单详细页面的“已收付款汇总”增加“对账标志”显示；B在“收款明细列表”与“付款明细列表”增加“对账标志”筛选与显示；C引出的EXCEL文件也含“对账标志”显示；</w:t>
      </w:r>
    </w:p>
    <w:p>
      <w:pPr>
        <w:numPr>
          <w:ilvl w:val="0"/>
          <w:numId w:val="0"/>
        </w:numPr>
        <w:ind w:leftChars="0"/>
      </w:pPr>
      <w:r>
        <w:drawing>
          <wp:inline distT="0" distB="0" distL="114300" distR="114300">
            <wp:extent cx="7040880" cy="3359150"/>
            <wp:effectExtent l="0" t="0" r="7620" b="1270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5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客户对账明细页面增加“客源”筛选：</w:t>
      </w:r>
    </w:p>
    <w:p>
      <w:pPr>
        <w:numPr>
          <w:ilvl w:val="0"/>
          <w:numId w:val="0"/>
        </w:numPr>
        <w:ind w:leftChars="0"/>
      </w:pPr>
      <w:r>
        <w:drawing>
          <wp:inline distT="0" distB="0" distL="114300" distR="114300">
            <wp:extent cx="7040880" cy="3359150"/>
            <wp:effectExtent l="0" t="0" r="7620" b="1270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5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“添加付款明细”标题改为“添加付款申请”：</w:t>
      </w:r>
    </w:p>
    <w:p>
      <w:pPr>
        <w:numPr>
          <w:ilvl w:val="0"/>
          <w:numId w:val="0"/>
        </w:numPr>
        <w:ind w:leftChars="0"/>
      </w:pPr>
      <w:r>
        <w:drawing>
          <wp:inline distT="0" distB="0" distL="114300" distR="114300">
            <wp:extent cx="7040880" cy="3359150"/>
            <wp:effectExtent l="0" t="0" r="7620" b="1270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55"/>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收款明细列表与付款明细列表增加“付款方式”筛选；</w:t>
      </w:r>
    </w:p>
    <w:p>
      <w:pPr>
        <w:numPr>
          <w:ilvl w:val="0"/>
          <w:numId w:val="0"/>
        </w:numPr>
        <w:ind w:leftChars="0"/>
      </w:pPr>
      <w:r>
        <w:drawing>
          <wp:inline distT="0" distB="0" distL="114300" distR="114300">
            <wp:extent cx="7040880" cy="3359150"/>
            <wp:effectExtent l="0" t="0" r="7620" b="1270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default"/>
          <w:lang w:val="en-US" w:eastAsia="zh-CN"/>
        </w:rPr>
      </w:pPr>
      <w:r>
        <w:rPr>
          <w:rFonts w:hint="eastAsia"/>
          <w:lang w:val="en-US" w:eastAsia="zh-CN"/>
        </w:rPr>
        <w:t>A增加订单面页统计功能同时改进统计模块中的员工业绩统计等一系统功能；</w:t>
      </w:r>
    </w:p>
    <w:p>
      <w:pPr>
        <w:numPr>
          <w:ilvl w:val="0"/>
          <w:numId w:val="0"/>
        </w:numPr>
        <w:ind w:leftChars="0"/>
      </w:pPr>
      <w:r>
        <w:drawing>
          <wp:inline distT="0" distB="0" distL="114300" distR="114300">
            <wp:extent cx="7040880" cy="3065780"/>
            <wp:effectExtent l="0" t="0" r="7620" b="127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7"/>
                    <a:stretch>
                      <a:fillRect/>
                    </a:stretch>
                  </pic:blipFill>
                  <pic:spPr>
                    <a:xfrm>
                      <a:off x="0" y="0"/>
                      <a:ext cx="7040880" cy="30657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b/>
          <w:bCs/>
          <w:color w:val="C00000"/>
          <w:lang w:val="en-US" w:eastAsia="zh-CN"/>
        </w:rPr>
        <w:t>收</w:t>
      </w:r>
      <w:r>
        <w:rPr>
          <w:rFonts w:hint="eastAsia"/>
          <w:color w:val="C00000"/>
          <w:lang w:val="en-US" w:eastAsia="zh-CN"/>
        </w:rPr>
        <w:t>付</w:t>
      </w:r>
      <w:r>
        <w:rPr>
          <w:rFonts w:hint="eastAsia"/>
          <w:lang w:val="en-US" w:eastAsia="zh-CN"/>
        </w:rPr>
        <w:t>款通知 点击未分配款 弹出的 已分配款 显不  “对账标识”：</w:t>
      </w:r>
    </w:p>
    <w:p>
      <w:pPr>
        <w:numPr>
          <w:ilvl w:val="0"/>
          <w:numId w:val="0"/>
        </w:numPr>
        <w:ind w:leftChars="0"/>
      </w:pPr>
      <w:r>
        <w:drawing>
          <wp:inline distT="0" distB="0" distL="114300" distR="114300">
            <wp:extent cx="7040880" cy="3359150"/>
            <wp:effectExtent l="0" t="0" r="7620" b="1270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5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A业绩统计模块：增加“员工业绩明细”与“区域业绩明细”；B员工业绩统计模块的统计性质为“下单”时的对应字段值跳转修改；C区域业绩统计的对应字段值跳转修改</w:t>
      </w:r>
    </w:p>
    <w:p>
      <w:pPr>
        <w:numPr>
          <w:ilvl w:val="0"/>
          <w:numId w:val="0"/>
        </w:numPr>
        <w:ind w:leftChars="0"/>
      </w:pPr>
      <w:r>
        <w:drawing>
          <wp:inline distT="0" distB="0" distL="114300" distR="114300">
            <wp:extent cx="7040880" cy="3843020"/>
            <wp:effectExtent l="0" t="0" r="7620" b="508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9"/>
                    <a:stretch>
                      <a:fillRect/>
                    </a:stretch>
                  </pic:blipFill>
                  <pic:spPr>
                    <a:xfrm>
                      <a:off x="0" y="0"/>
                      <a:ext cx="7040880" cy="384302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6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6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b/>
          <w:bCs/>
          <w:lang w:val="en-US" w:eastAsia="zh-CN"/>
        </w:rPr>
        <w:t>员工业绩明细</w:t>
      </w:r>
      <w:r>
        <w:rPr>
          <w:rFonts w:hint="eastAsia"/>
          <w:lang w:val="en-US" w:eastAsia="zh-CN"/>
        </w:rPr>
        <w:t>数据显示与</w:t>
      </w:r>
      <w:r>
        <w:rPr>
          <w:rFonts w:hint="eastAsia"/>
          <w:b/>
          <w:bCs/>
          <w:lang w:val="en-US" w:eastAsia="zh-CN"/>
        </w:rPr>
        <w:t>区域业绩明</w:t>
      </w:r>
      <w:r>
        <w:rPr>
          <w:rFonts w:hint="eastAsia"/>
          <w:lang w:val="en-US" w:eastAsia="zh-CN"/>
        </w:rPr>
        <w:t>细数据显示：同时点击“订单号”可以进入订单详细页面；</w:t>
      </w:r>
    </w:p>
    <w:p>
      <w:pPr>
        <w:numPr>
          <w:ilvl w:val="0"/>
          <w:numId w:val="0"/>
        </w:numPr>
        <w:ind w:leftChars="0"/>
      </w:pPr>
      <w:r>
        <w:drawing>
          <wp:inline distT="0" distB="0" distL="114300" distR="114300">
            <wp:extent cx="7046595" cy="1388745"/>
            <wp:effectExtent l="0" t="0" r="1905" b="190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62"/>
                    <a:stretch>
                      <a:fillRect/>
                    </a:stretch>
                  </pic:blipFill>
                  <pic:spPr>
                    <a:xfrm>
                      <a:off x="0" y="0"/>
                      <a:ext cx="7046595" cy="138874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在“订单列表”、“订单业务审核”与“订单分析”的所有页签中，显示归属区域、业务员及共同业务员的业绩分配比例；</w:t>
      </w:r>
    </w:p>
    <w:p>
      <w:pPr>
        <w:numPr>
          <w:ilvl w:val="0"/>
          <w:numId w:val="0"/>
        </w:numPr>
        <w:ind w:leftChars="0"/>
      </w:pPr>
      <w:r>
        <w:drawing>
          <wp:inline distT="0" distB="0" distL="114300" distR="114300">
            <wp:extent cx="7040880" cy="3359150"/>
            <wp:effectExtent l="0" t="0" r="7620" b="1270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6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6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6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订单业务审核的列表界面，将默认锁定状态由“不限”改为“未锁与待处理”；B钉钉界面中“业务审批-待审批”界面默认显示状态“不限”也改为“未锁与待处理”、“业务审批-已审批”界面维护原默认显示状态“不限”不变；</w:t>
      </w:r>
    </w:p>
    <w:p>
      <w:pPr>
        <w:numPr>
          <w:ilvl w:val="0"/>
          <w:numId w:val="0"/>
        </w:numPr>
        <w:ind w:leftChars="0"/>
      </w:pPr>
      <w:r>
        <w:drawing>
          <wp:inline distT="0" distB="0" distL="114300" distR="114300">
            <wp:extent cx="7040880" cy="3359150"/>
            <wp:effectExtent l="0" t="0" r="7620" b="1270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6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客户列表增加“联系人</w:t>
      </w:r>
      <w:r>
        <w:rPr>
          <w:rFonts w:hint="default"/>
          <w:lang w:val="en-US" w:eastAsia="zh-CN"/>
        </w:rPr>
        <w:t>”</w:t>
      </w:r>
      <w:r>
        <w:rPr>
          <w:rFonts w:hint="eastAsia"/>
          <w:color w:val="FF0000"/>
          <w:lang w:val="en-US" w:eastAsia="zh-CN"/>
        </w:rPr>
        <w:t>模糊</w:t>
      </w:r>
      <w:r>
        <w:rPr>
          <w:rFonts w:hint="eastAsia"/>
          <w:lang w:val="en-US" w:eastAsia="zh-CN"/>
        </w:rPr>
        <w:t>筛选；</w:t>
      </w:r>
    </w:p>
    <w:p>
      <w:pPr>
        <w:numPr>
          <w:ilvl w:val="0"/>
          <w:numId w:val="0"/>
        </w:numPr>
        <w:ind w:leftChars="0"/>
      </w:pPr>
      <w:r>
        <w:drawing>
          <wp:inline distT="0" distB="0" distL="114300" distR="114300">
            <wp:extent cx="7040880" cy="3359150"/>
            <wp:effectExtent l="0" t="0" r="7620" b="1270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16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订单业务审批模块，A改为“待审批”与“审批不通过”两个页签，同时在右上角用数字显过待处量的记录数量；B钉钉中的业务审批模块增加“审批不通过”页签；</w:t>
      </w:r>
    </w:p>
    <w:p>
      <w:pPr>
        <w:numPr>
          <w:numId w:val="0"/>
        </w:numPr>
        <w:ind w:leftChars="0"/>
        <w:rPr>
          <w:rFonts w:hint="default"/>
          <w:lang w:val="en-US" w:eastAsia="zh-CN"/>
        </w:rPr>
      </w:pPr>
      <w:bookmarkStart w:id="0" w:name="_GoBack"/>
      <w:bookmarkEnd w:id="0"/>
    </w:p>
    <w:p>
      <w:pPr>
        <w:numPr>
          <w:numId w:val="0"/>
        </w:numPr>
        <w:ind w:leftChars="0"/>
        <w:rPr>
          <w:rFonts w:hint="default"/>
          <w:lang w:val="en-US" w:eastAsia="zh-CN"/>
        </w:rPr>
      </w:pPr>
      <w:r>
        <w:drawing>
          <wp:inline distT="0" distB="0" distL="114300" distR="114300">
            <wp:extent cx="7040880" cy="3359150"/>
            <wp:effectExtent l="0" t="0" r="7620" b="12700"/>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6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2438400" cy="5934075"/>
            <wp:effectExtent l="0" t="0" r="0" b="9525"/>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69"/>
                    <a:stretch>
                      <a:fillRect/>
                    </a:stretch>
                  </pic:blipFill>
                  <pic:spPr>
                    <a:xfrm>
                      <a:off x="0" y="0"/>
                      <a:ext cx="2438400" cy="5934075"/>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DE0D4E"/>
    <w:rsid w:val="01E82F0B"/>
    <w:rsid w:val="02091BEC"/>
    <w:rsid w:val="02230931"/>
    <w:rsid w:val="022B4A4B"/>
    <w:rsid w:val="02721EE5"/>
    <w:rsid w:val="02B95D0A"/>
    <w:rsid w:val="02BF66CD"/>
    <w:rsid w:val="02FF42DC"/>
    <w:rsid w:val="03700E35"/>
    <w:rsid w:val="03956F40"/>
    <w:rsid w:val="03D33827"/>
    <w:rsid w:val="03D82682"/>
    <w:rsid w:val="03EF464A"/>
    <w:rsid w:val="03F71354"/>
    <w:rsid w:val="03FA7C0E"/>
    <w:rsid w:val="04067CD5"/>
    <w:rsid w:val="04285EAC"/>
    <w:rsid w:val="0443279C"/>
    <w:rsid w:val="04516A05"/>
    <w:rsid w:val="04870F2B"/>
    <w:rsid w:val="04BC73A8"/>
    <w:rsid w:val="05337CE2"/>
    <w:rsid w:val="05570D39"/>
    <w:rsid w:val="05C46B18"/>
    <w:rsid w:val="0615505F"/>
    <w:rsid w:val="062B5E62"/>
    <w:rsid w:val="06C15E24"/>
    <w:rsid w:val="07245898"/>
    <w:rsid w:val="07B872A8"/>
    <w:rsid w:val="08257746"/>
    <w:rsid w:val="08614902"/>
    <w:rsid w:val="09B44310"/>
    <w:rsid w:val="09E9119C"/>
    <w:rsid w:val="0A564639"/>
    <w:rsid w:val="0AA14655"/>
    <w:rsid w:val="0AC76842"/>
    <w:rsid w:val="0B0C5BF4"/>
    <w:rsid w:val="0B4B4206"/>
    <w:rsid w:val="0B5418A3"/>
    <w:rsid w:val="0B547EFC"/>
    <w:rsid w:val="0BEF101F"/>
    <w:rsid w:val="0CA92A3B"/>
    <w:rsid w:val="0CB63D81"/>
    <w:rsid w:val="0CF02377"/>
    <w:rsid w:val="0CF10875"/>
    <w:rsid w:val="0D2121B4"/>
    <w:rsid w:val="0DA17AB6"/>
    <w:rsid w:val="0DAD23FC"/>
    <w:rsid w:val="0DB33E6B"/>
    <w:rsid w:val="0DC96ADA"/>
    <w:rsid w:val="0E2551F3"/>
    <w:rsid w:val="0E9D0A8A"/>
    <w:rsid w:val="0F002098"/>
    <w:rsid w:val="0F324CE4"/>
    <w:rsid w:val="0F3E3F24"/>
    <w:rsid w:val="0F533533"/>
    <w:rsid w:val="0F68202B"/>
    <w:rsid w:val="0FC96F3E"/>
    <w:rsid w:val="0FE77D6F"/>
    <w:rsid w:val="101E2860"/>
    <w:rsid w:val="10AA3CCD"/>
    <w:rsid w:val="10D06C7D"/>
    <w:rsid w:val="113A1522"/>
    <w:rsid w:val="11D11E6A"/>
    <w:rsid w:val="122173B7"/>
    <w:rsid w:val="12E7606A"/>
    <w:rsid w:val="13D70C87"/>
    <w:rsid w:val="13E66D4A"/>
    <w:rsid w:val="14E40968"/>
    <w:rsid w:val="15054C9F"/>
    <w:rsid w:val="15447654"/>
    <w:rsid w:val="15766D2D"/>
    <w:rsid w:val="158009B3"/>
    <w:rsid w:val="15961E5A"/>
    <w:rsid w:val="16603FE5"/>
    <w:rsid w:val="171F6393"/>
    <w:rsid w:val="172D66EE"/>
    <w:rsid w:val="175549A3"/>
    <w:rsid w:val="17E42BF7"/>
    <w:rsid w:val="1802520C"/>
    <w:rsid w:val="181010A1"/>
    <w:rsid w:val="1812602D"/>
    <w:rsid w:val="18271D0E"/>
    <w:rsid w:val="1841732B"/>
    <w:rsid w:val="18911F74"/>
    <w:rsid w:val="189B59BF"/>
    <w:rsid w:val="18A44D33"/>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E873A0B"/>
    <w:rsid w:val="1F145FE4"/>
    <w:rsid w:val="1F9B6AB4"/>
    <w:rsid w:val="1FAF01A5"/>
    <w:rsid w:val="1FD0435A"/>
    <w:rsid w:val="1FE84A79"/>
    <w:rsid w:val="20020720"/>
    <w:rsid w:val="21131D82"/>
    <w:rsid w:val="21501771"/>
    <w:rsid w:val="217C3DFE"/>
    <w:rsid w:val="21EA131A"/>
    <w:rsid w:val="22266D6E"/>
    <w:rsid w:val="22471980"/>
    <w:rsid w:val="228C52E3"/>
    <w:rsid w:val="23534D84"/>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CE5CC2"/>
    <w:rsid w:val="2AD1002C"/>
    <w:rsid w:val="2AEB3AC8"/>
    <w:rsid w:val="2AFA623D"/>
    <w:rsid w:val="2BD0504D"/>
    <w:rsid w:val="2C032F89"/>
    <w:rsid w:val="2C183A78"/>
    <w:rsid w:val="2C1F7D04"/>
    <w:rsid w:val="2C24179F"/>
    <w:rsid w:val="2D46065C"/>
    <w:rsid w:val="2DB87176"/>
    <w:rsid w:val="2DF56D7A"/>
    <w:rsid w:val="2E93742E"/>
    <w:rsid w:val="2EB11794"/>
    <w:rsid w:val="2EF17C21"/>
    <w:rsid w:val="2EF62223"/>
    <w:rsid w:val="2F0762A6"/>
    <w:rsid w:val="2F877510"/>
    <w:rsid w:val="2FF13345"/>
    <w:rsid w:val="30FD0C76"/>
    <w:rsid w:val="317C3F79"/>
    <w:rsid w:val="319B1E8A"/>
    <w:rsid w:val="31C90EF7"/>
    <w:rsid w:val="321D67FE"/>
    <w:rsid w:val="32297D9E"/>
    <w:rsid w:val="32F156E9"/>
    <w:rsid w:val="331E357E"/>
    <w:rsid w:val="337D197F"/>
    <w:rsid w:val="33B433C0"/>
    <w:rsid w:val="33E87C5C"/>
    <w:rsid w:val="33F20A69"/>
    <w:rsid w:val="34A9047B"/>
    <w:rsid w:val="34D26B3E"/>
    <w:rsid w:val="34DA18CC"/>
    <w:rsid w:val="35533554"/>
    <w:rsid w:val="356053E3"/>
    <w:rsid w:val="35A13EAD"/>
    <w:rsid w:val="36443EF1"/>
    <w:rsid w:val="367C62DC"/>
    <w:rsid w:val="368D2AFA"/>
    <w:rsid w:val="36BC4790"/>
    <w:rsid w:val="3701591D"/>
    <w:rsid w:val="372620CE"/>
    <w:rsid w:val="375D7CB2"/>
    <w:rsid w:val="37CF2EC7"/>
    <w:rsid w:val="37F86E41"/>
    <w:rsid w:val="387151A8"/>
    <w:rsid w:val="388B3837"/>
    <w:rsid w:val="392600EC"/>
    <w:rsid w:val="3945197E"/>
    <w:rsid w:val="395C0A5F"/>
    <w:rsid w:val="3A2613F7"/>
    <w:rsid w:val="3A2A76CC"/>
    <w:rsid w:val="3A653FE4"/>
    <w:rsid w:val="3A6E50FF"/>
    <w:rsid w:val="3A8209A6"/>
    <w:rsid w:val="3AE030A0"/>
    <w:rsid w:val="3B0B29FF"/>
    <w:rsid w:val="3B524F44"/>
    <w:rsid w:val="3B7C1A7D"/>
    <w:rsid w:val="3BB7287D"/>
    <w:rsid w:val="3BDB4F10"/>
    <w:rsid w:val="3C4A6279"/>
    <w:rsid w:val="3CAB1880"/>
    <w:rsid w:val="3D0A7517"/>
    <w:rsid w:val="3D431EA5"/>
    <w:rsid w:val="3D755604"/>
    <w:rsid w:val="3D827BD7"/>
    <w:rsid w:val="3FC75E2A"/>
    <w:rsid w:val="3FFC2801"/>
    <w:rsid w:val="402E368C"/>
    <w:rsid w:val="40623B20"/>
    <w:rsid w:val="40BD1B5D"/>
    <w:rsid w:val="416D7EE1"/>
    <w:rsid w:val="41913095"/>
    <w:rsid w:val="42E4524A"/>
    <w:rsid w:val="43E45BF1"/>
    <w:rsid w:val="43E45D26"/>
    <w:rsid w:val="44F053E9"/>
    <w:rsid w:val="45172B4C"/>
    <w:rsid w:val="452B6E56"/>
    <w:rsid w:val="45344FA4"/>
    <w:rsid w:val="45A104CB"/>
    <w:rsid w:val="45AC4685"/>
    <w:rsid w:val="45CE72F7"/>
    <w:rsid w:val="46195858"/>
    <w:rsid w:val="461C1DF5"/>
    <w:rsid w:val="46706394"/>
    <w:rsid w:val="472A1B2B"/>
    <w:rsid w:val="47431BBA"/>
    <w:rsid w:val="474A1B42"/>
    <w:rsid w:val="47D169AD"/>
    <w:rsid w:val="480E0BFF"/>
    <w:rsid w:val="486F0A4B"/>
    <w:rsid w:val="48935690"/>
    <w:rsid w:val="493B260F"/>
    <w:rsid w:val="4A134048"/>
    <w:rsid w:val="4A216FFE"/>
    <w:rsid w:val="4A3A69ED"/>
    <w:rsid w:val="4A5179BA"/>
    <w:rsid w:val="4A8F20D8"/>
    <w:rsid w:val="4ACC6537"/>
    <w:rsid w:val="4AF1796D"/>
    <w:rsid w:val="4B587B69"/>
    <w:rsid w:val="4B60553A"/>
    <w:rsid w:val="4BEF52AB"/>
    <w:rsid w:val="4C240337"/>
    <w:rsid w:val="4C423D8C"/>
    <w:rsid w:val="4C96215E"/>
    <w:rsid w:val="4CAB7BE3"/>
    <w:rsid w:val="4CAF6471"/>
    <w:rsid w:val="4CD95B21"/>
    <w:rsid w:val="4DAD1742"/>
    <w:rsid w:val="4DE94EAA"/>
    <w:rsid w:val="4E2E4BCD"/>
    <w:rsid w:val="4EE87874"/>
    <w:rsid w:val="4F42714B"/>
    <w:rsid w:val="4F806677"/>
    <w:rsid w:val="4F87404D"/>
    <w:rsid w:val="4FA6232F"/>
    <w:rsid w:val="4FAF5306"/>
    <w:rsid w:val="4FFD122B"/>
    <w:rsid w:val="50004AA4"/>
    <w:rsid w:val="50B60370"/>
    <w:rsid w:val="51297259"/>
    <w:rsid w:val="514549DB"/>
    <w:rsid w:val="516C5329"/>
    <w:rsid w:val="519F67BA"/>
    <w:rsid w:val="51A42CB2"/>
    <w:rsid w:val="51F0037B"/>
    <w:rsid w:val="52706F07"/>
    <w:rsid w:val="52A53685"/>
    <w:rsid w:val="53113F54"/>
    <w:rsid w:val="532A33D5"/>
    <w:rsid w:val="53684700"/>
    <w:rsid w:val="540B3AA2"/>
    <w:rsid w:val="548303BC"/>
    <w:rsid w:val="549A43E3"/>
    <w:rsid w:val="552C624B"/>
    <w:rsid w:val="555C66AE"/>
    <w:rsid w:val="55673F09"/>
    <w:rsid w:val="55913D2B"/>
    <w:rsid w:val="56B130CE"/>
    <w:rsid w:val="56DE6041"/>
    <w:rsid w:val="570739C8"/>
    <w:rsid w:val="573E5741"/>
    <w:rsid w:val="576A1DC6"/>
    <w:rsid w:val="57A36601"/>
    <w:rsid w:val="584A21E8"/>
    <w:rsid w:val="59277DFB"/>
    <w:rsid w:val="597D0925"/>
    <w:rsid w:val="59AC3F4D"/>
    <w:rsid w:val="59AF62E9"/>
    <w:rsid w:val="59EC72C4"/>
    <w:rsid w:val="5A075F8E"/>
    <w:rsid w:val="5A3E4D1E"/>
    <w:rsid w:val="5ACD21AA"/>
    <w:rsid w:val="5AFE5CAB"/>
    <w:rsid w:val="5B975E18"/>
    <w:rsid w:val="5BB92F93"/>
    <w:rsid w:val="5BDD3DB7"/>
    <w:rsid w:val="5BE509C8"/>
    <w:rsid w:val="5C891DD2"/>
    <w:rsid w:val="5C9B1066"/>
    <w:rsid w:val="5D586AB3"/>
    <w:rsid w:val="5D9F460B"/>
    <w:rsid w:val="5DC9622E"/>
    <w:rsid w:val="5E354CB0"/>
    <w:rsid w:val="5E3746BE"/>
    <w:rsid w:val="5E3F201E"/>
    <w:rsid w:val="5ED272FD"/>
    <w:rsid w:val="5ED44D98"/>
    <w:rsid w:val="5EDA0854"/>
    <w:rsid w:val="5EE02C49"/>
    <w:rsid w:val="5EF92CD4"/>
    <w:rsid w:val="5F2A017B"/>
    <w:rsid w:val="5F7260FB"/>
    <w:rsid w:val="5FDF7D56"/>
    <w:rsid w:val="5FE4373E"/>
    <w:rsid w:val="5FFD522C"/>
    <w:rsid w:val="603B73D0"/>
    <w:rsid w:val="60A93E94"/>
    <w:rsid w:val="60B75F01"/>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DA6F18"/>
    <w:rsid w:val="6BE83EDE"/>
    <w:rsid w:val="6C430CAC"/>
    <w:rsid w:val="6CED00AD"/>
    <w:rsid w:val="6D3C4CFE"/>
    <w:rsid w:val="6D615120"/>
    <w:rsid w:val="6D7F0CE2"/>
    <w:rsid w:val="6DB97E45"/>
    <w:rsid w:val="6E2B38D0"/>
    <w:rsid w:val="6E816206"/>
    <w:rsid w:val="6EA538FF"/>
    <w:rsid w:val="6F8B4ADC"/>
    <w:rsid w:val="701D0E7E"/>
    <w:rsid w:val="70A36A2F"/>
    <w:rsid w:val="70B5259D"/>
    <w:rsid w:val="70BD2779"/>
    <w:rsid w:val="710311BA"/>
    <w:rsid w:val="7105205C"/>
    <w:rsid w:val="71843B81"/>
    <w:rsid w:val="71DF0989"/>
    <w:rsid w:val="71FF72BF"/>
    <w:rsid w:val="72184FB4"/>
    <w:rsid w:val="72784F3E"/>
    <w:rsid w:val="729B1A1A"/>
    <w:rsid w:val="734C5DA6"/>
    <w:rsid w:val="73621B6C"/>
    <w:rsid w:val="73AD023E"/>
    <w:rsid w:val="743243F5"/>
    <w:rsid w:val="745D03E1"/>
    <w:rsid w:val="753E613B"/>
    <w:rsid w:val="76022863"/>
    <w:rsid w:val="76102C03"/>
    <w:rsid w:val="765058C0"/>
    <w:rsid w:val="7670696F"/>
    <w:rsid w:val="767A3E82"/>
    <w:rsid w:val="76E005B4"/>
    <w:rsid w:val="77363EE3"/>
    <w:rsid w:val="777F5D49"/>
    <w:rsid w:val="77B776EA"/>
    <w:rsid w:val="77CB2BBE"/>
    <w:rsid w:val="77D7126C"/>
    <w:rsid w:val="7873165D"/>
    <w:rsid w:val="78F62D05"/>
    <w:rsid w:val="792E26D2"/>
    <w:rsid w:val="797E027D"/>
    <w:rsid w:val="798633F4"/>
    <w:rsid w:val="79906AA9"/>
    <w:rsid w:val="79F0195B"/>
    <w:rsid w:val="79F45479"/>
    <w:rsid w:val="7A30596D"/>
    <w:rsid w:val="7A9145A7"/>
    <w:rsid w:val="7AE17B29"/>
    <w:rsid w:val="7B22011A"/>
    <w:rsid w:val="7B4A3C63"/>
    <w:rsid w:val="7B4F0FDA"/>
    <w:rsid w:val="7BDB797B"/>
    <w:rsid w:val="7C0A2C31"/>
    <w:rsid w:val="7C0A43DC"/>
    <w:rsid w:val="7C6920E3"/>
    <w:rsid w:val="7C882011"/>
    <w:rsid w:val="7CA67A9A"/>
    <w:rsid w:val="7D2951DD"/>
    <w:rsid w:val="7D902047"/>
    <w:rsid w:val="7DB54F24"/>
    <w:rsid w:val="7E8301AF"/>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2" Type="http://schemas.openxmlformats.org/officeDocument/2006/relationships/fontTable" Target="fontTable.xml"/><Relationship Id="rId171" Type="http://schemas.openxmlformats.org/officeDocument/2006/relationships/numbering" Target="numbering.xml"/><Relationship Id="rId170" Type="http://schemas.openxmlformats.org/officeDocument/2006/relationships/customXml" Target="../customXml/item1.xml"/><Relationship Id="rId17" Type="http://schemas.openxmlformats.org/officeDocument/2006/relationships/image" Target="media/image14.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3.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Office_11.1.0.10116_F1E327BC-269C-435d-A152-05C5408002CA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2021-08-10T02:49:20Z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2052-11.1.0.10116</vt:lpwstr>
  </property>
</Properties>
</file>